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9C2" w:rsidRPr="004A1036" w:rsidRDefault="00A729C2" w:rsidP="004A1036">
      <w:pPr>
        <w:rPr>
          <w:noProof/>
          <w:snapToGrid/>
          <w:szCs w:val="24"/>
        </w:rPr>
      </w:pPr>
      <w:r w:rsidRPr="004A1036">
        <w:rPr>
          <w:noProof/>
          <w:snapToGrid/>
        </w:rPr>
        <w:t xml:space="preserve">BG </w:t>
      </w:r>
    </w:p>
    <w:p w:rsidR="00A729C2" w:rsidRPr="004A1036" w:rsidRDefault="00A729C2" w:rsidP="004A1036">
      <w:pPr>
        <w:rPr>
          <w:noProof/>
          <w:snapToGrid/>
          <w:szCs w:val="24"/>
        </w:rPr>
      </w:pPr>
      <w:r w:rsidRPr="004A1036">
        <w:rPr>
          <w:noProof/>
          <w:snapToGrid/>
        </w:rPr>
        <w:t>E-004704/2018</w:t>
      </w:r>
    </w:p>
    <w:p w:rsidR="00A729C2" w:rsidRPr="004A1036" w:rsidRDefault="00A729C2" w:rsidP="004A1036">
      <w:pPr>
        <w:rPr>
          <w:noProof/>
          <w:snapToGrid/>
          <w:szCs w:val="24"/>
        </w:rPr>
      </w:pPr>
      <w:r w:rsidRPr="004A1036">
        <w:rPr>
          <w:noProof/>
          <w:snapToGrid/>
        </w:rPr>
        <w:t xml:space="preserve">Отговор от г-н Ариас Канете </w:t>
      </w:r>
    </w:p>
    <w:p w:rsidR="00A729C2" w:rsidRPr="004A1036" w:rsidRDefault="00A729C2" w:rsidP="004A1036">
      <w:pPr>
        <w:rPr>
          <w:noProof/>
          <w:snapToGrid/>
          <w:szCs w:val="24"/>
        </w:rPr>
      </w:pPr>
      <w:r w:rsidRPr="004A1036">
        <w:rPr>
          <w:noProof/>
          <w:snapToGrid/>
        </w:rPr>
        <w:t>от името на Европейската комисия</w:t>
      </w:r>
    </w:p>
    <w:p w:rsidR="00233B89" w:rsidRPr="004A1036" w:rsidRDefault="00B4117B" w:rsidP="004A1036">
      <w:pPr>
        <w:rPr>
          <w:noProof/>
        </w:rPr>
      </w:pPr>
      <w:r w:rsidRPr="004A1036">
        <w:rPr>
          <w:noProof/>
        </w:rPr>
        <w:t>(19.11.2018)</w:t>
      </w:r>
    </w:p>
    <w:p w:rsidR="00B4117B" w:rsidRPr="004A1036" w:rsidRDefault="00B4117B" w:rsidP="004A1036">
      <w:pPr>
        <w:rPr>
          <w:noProof/>
          <w:snapToGrid/>
          <w:szCs w:val="24"/>
        </w:rPr>
      </w:pPr>
    </w:p>
    <w:p w:rsidR="00233B89" w:rsidRPr="004A1036" w:rsidRDefault="00233B89" w:rsidP="004A1036">
      <w:pPr>
        <w:rPr>
          <w:noProof/>
          <w:snapToGrid/>
          <w:szCs w:val="24"/>
        </w:rPr>
      </w:pPr>
    </w:p>
    <w:p w:rsidR="00A94FBA" w:rsidRPr="004A1036" w:rsidRDefault="00A94FBA" w:rsidP="004A1036">
      <w:pPr>
        <w:rPr>
          <w:noProof/>
          <w:snapToGrid/>
          <w:szCs w:val="24"/>
        </w:rPr>
      </w:pPr>
      <w:r w:rsidRPr="004A1036">
        <w:rPr>
          <w:noProof/>
          <w:snapToGrid/>
        </w:rPr>
        <w:t>Комисията отдава първостепенно значение на ядрената безопасност и защитата на гражданите. В този контекст през 2009 г. беше приета, а през 2014 г. беше преразгледана Директивата за ядрената безопасност</w:t>
      </w:r>
      <w:r w:rsidR="004A1036">
        <w:rPr>
          <w:rStyle w:val="FootnoteReference"/>
          <w:noProof/>
          <w:snapToGrid/>
        </w:rPr>
        <w:footnoteReference w:id="1"/>
      </w:r>
      <w:r w:rsidRPr="004A1036">
        <w:rPr>
          <w:noProof/>
          <w:snapToGrid/>
        </w:rPr>
        <w:t>. Изменението от 2014 г., прието след ядрената авария във Фукушима, включва нова цел за високо ниво на ядрена безопасност за предотвратяване на аварии и избягване на изхвърляния на радиоактивни вещества. С него също така се изисква от заявителя за лицензия за строителство да извърши оценка на безопасността на площадката и да представи доказателства относно ядрената безопасност. Новата цел за безопасност се прилага за новите ядрени инсталации, за които за първи път се издава лицензия за строителство след 14 август 2014 г.</w:t>
      </w:r>
      <w:r w:rsidR="004A1036">
        <w:rPr>
          <w:rStyle w:val="FootnoteReference"/>
          <w:noProof/>
          <w:snapToGrid/>
        </w:rPr>
        <w:footnoteReference w:id="2"/>
      </w:r>
      <w:r w:rsidRPr="004A1036">
        <w:rPr>
          <w:noProof/>
          <w:snapToGrid/>
        </w:rPr>
        <w:t xml:space="preserve"> </w:t>
      </w:r>
    </w:p>
    <w:p w:rsidR="00233B89" w:rsidRPr="004A1036" w:rsidRDefault="00233B89" w:rsidP="004A1036">
      <w:pPr>
        <w:rPr>
          <w:noProof/>
          <w:snapToGrid/>
          <w:szCs w:val="24"/>
        </w:rPr>
      </w:pPr>
    </w:p>
    <w:p w:rsidR="00B4117B" w:rsidRPr="004A1036" w:rsidRDefault="00A94FBA" w:rsidP="004A1036">
      <w:pPr>
        <w:rPr>
          <w:noProof/>
          <w:snapToGrid/>
          <w:szCs w:val="24"/>
        </w:rPr>
      </w:pPr>
      <w:r w:rsidRPr="004A1036">
        <w:rPr>
          <w:noProof/>
          <w:snapToGrid/>
        </w:rPr>
        <w:t>Всички нови ядрени инсталации трябва да отговарят напълно на целта за ядрена безопасност, посочена в членове 8а—8в от изменената Директива за ядрена безопасност, и проектът им трябва да бъде в съответствие с най-новите международни</w:t>
      </w:r>
      <w:r w:rsidR="004A1036">
        <w:rPr>
          <w:rStyle w:val="FootnoteReference"/>
          <w:noProof/>
          <w:snapToGrid/>
        </w:rPr>
        <w:footnoteReference w:id="3"/>
      </w:r>
      <w:r w:rsidRPr="004A1036">
        <w:rPr>
          <w:noProof/>
          <w:snapToGrid/>
        </w:rPr>
        <w:t xml:space="preserve"> и европейски</w:t>
      </w:r>
      <w:r w:rsidR="004A1036">
        <w:rPr>
          <w:rStyle w:val="FootnoteReference"/>
          <w:noProof/>
          <w:snapToGrid/>
        </w:rPr>
        <w:footnoteReference w:id="4"/>
      </w:r>
      <w:r w:rsidRPr="004A1036">
        <w:rPr>
          <w:noProof/>
          <w:snapToGrid/>
        </w:rPr>
        <w:t xml:space="preserve"> стандарти и насоки, които бяха преразгледани след аварията във Фукушима. Насоките на европейско равнище бяха преразгледани вследствие най-вече на основните препоръки на ЕС във връзка с резултатите от стрес тестовете, по-специално що се отнася до оценката на природните опасности, включително земетресения, наводнения и екстремни метеорологични условия</w:t>
      </w:r>
      <w:r w:rsidR="004A1036">
        <w:rPr>
          <w:rStyle w:val="FootnoteReference"/>
          <w:noProof/>
          <w:snapToGrid/>
        </w:rPr>
        <w:footnoteReference w:id="5"/>
      </w:r>
      <w:r w:rsidRPr="004A1036">
        <w:rPr>
          <w:noProof/>
          <w:snapToGrid/>
        </w:rPr>
        <w:t xml:space="preserve">. </w:t>
      </w:r>
    </w:p>
    <w:p w:rsidR="00B4117B" w:rsidRPr="004A1036" w:rsidRDefault="00B4117B" w:rsidP="004A1036">
      <w:pPr>
        <w:rPr>
          <w:noProof/>
          <w:szCs w:val="24"/>
        </w:rPr>
      </w:pPr>
    </w:p>
    <w:p w:rsidR="00B4117B" w:rsidRPr="004A1036" w:rsidRDefault="00B4117B" w:rsidP="004A1036">
      <w:pPr>
        <w:rPr>
          <w:noProof/>
          <w:szCs w:val="24"/>
        </w:rPr>
      </w:pPr>
    </w:p>
    <w:p w:rsidR="00B4117B" w:rsidRPr="004A1036" w:rsidRDefault="00B4117B" w:rsidP="004A1036">
      <w:pPr>
        <w:rPr>
          <w:noProof/>
          <w:szCs w:val="24"/>
        </w:rPr>
      </w:pPr>
    </w:p>
    <w:p w:rsidR="007A343E" w:rsidRPr="004A1036" w:rsidRDefault="007A343E" w:rsidP="004A1036">
      <w:pPr>
        <w:rPr>
          <w:noProof/>
          <w:szCs w:val="24"/>
        </w:rPr>
      </w:pPr>
      <w:bookmarkStart w:id="0" w:name="_GoBack"/>
      <w:bookmarkEnd w:id="0"/>
    </w:p>
    <w:sectPr w:rsidR="007A343E" w:rsidRPr="004A1036" w:rsidSect="004A1036">
      <w:headerReference w:type="even" r:id="rId7"/>
      <w:headerReference w:type="default" r:id="rId8"/>
      <w:footerReference w:type="even" r:id="rId9"/>
      <w:footerReference w:type="default" r:id="rId10"/>
      <w:headerReference w:type="first" r:id="rId11"/>
      <w:footerReference w:type="first" r:id="rId12"/>
      <w:endnotePr>
        <w:numFmt w:val="decimal"/>
      </w:endnotePr>
      <w:pgSz w:w="11907" w:h="16839" w:code="9"/>
      <w:pgMar w:top="1440" w:right="1440" w:bottom="2007" w:left="1440" w:header="567"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530" w:rsidRPr="00B73541" w:rsidRDefault="00B86530">
      <w:r w:rsidRPr="00B73541">
        <w:separator/>
      </w:r>
    </w:p>
  </w:endnote>
  <w:endnote w:type="continuationSeparator" w:id="0">
    <w:p w:rsidR="00B86530" w:rsidRPr="00B73541" w:rsidRDefault="00B86530">
      <w:r w:rsidRPr="00B73541">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7B" w:rsidRDefault="00B41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B89" w:rsidRPr="004A1036" w:rsidRDefault="00233B89" w:rsidP="004A10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7B" w:rsidRDefault="00B41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530" w:rsidRPr="00B73541" w:rsidRDefault="00B86530">
      <w:r w:rsidRPr="00B73541">
        <w:separator/>
      </w:r>
    </w:p>
  </w:footnote>
  <w:footnote w:type="continuationSeparator" w:id="0">
    <w:p w:rsidR="00B86530" w:rsidRPr="00B73541" w:rsidRDefault="00B86530">
      <w:r w:rsidRPr="00B73541">
        <w:continuationSeparator/>
      </w:r>
    </w:p>
  </w:footnote>
  <w:footnote w:id="1">
    <w:p w:rsidR="004A1036" w:rsidRPr="004A1036" w:rsidRDefault="004A1036" w:rsidP="004A1036">
      <w:pPr>
        <w:pStyle w:val="FootnoteText"/>
        <w:tabs>
          <w:tab w:val="left" w:pos="283"/>
        </w:tabs>
        <w:ind w:left="283" w:hanging="283"/>
        <w:rPr>
          <w:lang w:val="fr-FR"/>
        </w:rPr>
      </w:pPr>
      <w:r>
        <w:rPr>
          <w:rStyle w:val="FootnoteReference"/>
        </w:rPr>
        <w:footnoteRef/>
      </w:r>
      <w:r>
        <w:t xml:space="preserve"> </w:t>
      </w:r>
      <w:r>
        <w:tab/>
        <w:t>Директива 2009/71/</w:t>
      </w:r>
      <w:proofErr w:type="spellStart"/>
      <w:r>
        <w:t>Евратом</w:t>
      </w:r>
      <w:proofErr w:type="spellEnd"/>
      <w:r>
        <w:t xml:space="preserve"> на Съвета за установяване на общностна рамка за ядрената безопасност на ядрените инсталации, изменена с Директива 2014/87/</w:t>
      </w:r>
      <w:proofErr w:type="spellStart"/>
      <w:r>
        <w:t>Евратом</w:t>
      </w:r>
      <w:proofErr w:type="spellEnd"/>
      <w:r>
        <w:t xml:space="preserve"> на Съвета за изменение на Директива 2009/71/</w:t>
      </w:r>
      <w:proofErr w:type="spellStart"/>
      <w:r>
        <w:t>Евратом</w:t>
      </w:r>
      <w:proofErr w:type="spellEnd"/>
      <w:r>
        <w:t xml:space="preserve"> за установяване на общностна рамка за ядрената безопасност на ядрените инсталации.</w:t>
      </w:r>
    </w:p>
  </w:footnote>
  <w:footnote w:id="2">
    <w:p w:rsidR="004A1036" w:rsidRPr="004A1036" w:rsidRDefault="004A1036" w:rsidP="004A1036">
      <w:pPr>
        <w:pStyle w:val="FootnoteText"/>
        <w:tabs>
          <w:tab w:val="left" w:pos="283"/>
        </w:tabs>
        <w:ind w:left="283" w:hanging="283"/>
        <w:rPr>
          <w:lang w:val="fr-FR"/>
        </w:rPr>
      </w:pPr>
      <w:r>
        <w:rPr>
          <w:rStyle w:val="FootnoteReference"/>
        </w:rPr>
        <w:footnoteRef/>
      </w:r>
      <w:r>
        <w:t xml:space="preserve"> </w:t>
      </w:r>
      <w:r>
        <w:tab/>
      </w:r>
      <w:r>
        <w:t>Вж. член 8а от изменената Директива за ядрената безопасност.</w:t>
      </w:r>
    </w:p>
  </w:footnote>
  <w:footnote w:id="3">
    <w:p w:rsidR="004A1036" w:rsidRPr="00EA2C16" w:rsidRDefault="004A1036" w:rsidP="004A1036">
      <w:pPr>
        <w:pStyle w:val="FootnoteText"/>
        <w:tabs>
          <w:tab w:val="left" w:pos="283"/>
        </w:tabs>
        <w:ind w:left="283" w:hanging="283"/>
      </w:pPr>
      <w:r>
        <w:rPr>
          <w:rStyle w:val="FootnoteReference"/>
        </w:rPr>
        <w:footnoteRef/>
      </w:r>
      <w:r>
        <w:t xml:space="preserve"> </w:t>
      </w:r>
      <w:r>
        <w:tab/>
      </w:r>
      <w:r>
        <w:t xml:space="preserve">В 'Safety </w:t>
      </w:r>
      <w:proofErr w:type="spellStart"/>
      <w:r>
        <w:t>of</w:t>
      </w:r>
      <w:proofErr w:type="spellEnd"/>
      <w:r>
        <w:t xml:space="preserve"> </w:t>
      </w:r>
      <w:proofErr w:type="spellStart"/>
      <w:r>
        <w:t>Nuclear</w:t>
      </w:r>
      <w:proofErr w:type="spellEnd"/>
      <w:r>
        <w:t xml:space="preserve"> </w:t>
      </w:r>
      <w:proofErr w:type="spellStart"/>
      <w:r>
        <w:t>Power</w:t>
      </w:r>
      <w:proofErr w:type="spellEnd"/>
      <w:r>
        <w:t xml:space="preserve"> </w:t>
      </w:r>
      <w:proofErr w:type="spellStart"/>
      <w:r>
        <w:t>Plants</w:t>
      </w:r>
      <w:proofErr w:type="spellEnd"/>
      <w:r>
        <w:t xml:space="preserve">: </w:t>
      </w:r>
      <w:proofErr w:type="spellStart"/>
      <w:r>
        <w:t>Design</w:t>
      </w:r>
      <w:proofErr w:type="spellEnd"/>
      <w:r>
        <w:t xml:space="preserve">', International </w:t>
      </w:r>
      <w:proofErr w:type="spellStart"/>
      <w:r>
        <w:t>Atomic</w:t>
      </w:r>
      <w:proofErr w:type="spellEnd"/>
      <w:r>
        <w:t xml:space="preserve"> Energy </w:t>
      </w:r>
      <w:proofErr w:type="spellStart"/>
      <w:r>
        <w:t>Agency</w:t>
      </w:r>
      <w:proofErr w:type="spellEnd"/>
      <w:r>
        <w:t xml:space="preserve"> (IAEA) Safety </w:t>
      </w:r>
      <w:proofErr w:type="spellStart"/>
      <w:r>
        <w:t>Standards</w:t>
      </w:r>
      <w:proofErr w:type="spellEnd"/>
      <w:r>
        <w:t xml:space="preserve"> </w:t>
      </w:r>
      <w:proofErr w:type="spellStart"/>
      <w:r>
        <w:t>Series</w:t>
      </w:r>
      <w:proofErr w:type="spellEnd"/>
      <w:r>
        <w:t xml:space="preserve">, </w:t>
      </w:r>
      <w:proofErr w:type="spellStart"/>
      <w:r>
        <w:t>Specific</w:t>
      </w:r>
      <w:proofErr w:type="spellEnd"/>
      <w:r>
        <w:t xml:space="preserve"> Safety </w:t>
      </w:r>
      <w:proofErr w:type="spellStart"/>
      <w:r>
        <w:t>Requirements</w:t>
      </w:r>
      <w:proofErr w:type="spellEnd"/>
      <w:r>
        <w:t xml:space="preserve"> </w:t>
      </w:r>
      <w:proofErr w:type="spellStart"/>
      <w:r>
        <w:t>No</w:t>
      </w:r>
      <w:proofErr w:type="spellEnd"/>
      <w:r>
        <w:t>. SSR-2/1 (Безопасност на ядрените електроцентрали: проектиране — Стандарти за безопасност на МААЕ — серия „Специални изисквания за безопасност“ SSR-2/1) (</w:t>
      </w:r>
      <w:proofErr w:type="spellStart"/>
      <w:r>
        <w:t>Rev</w:t>
      </w:r>
      <w:proofErr w:type="spellEnd"/>
      <w:r>
        <w:t>. 1), МААЕ 2016 г., се посочва например, че „при проектирането на ядрената електроцентрала се прилага систематичен подход за определяне на цялостен набор от предполагаеми изходни събития, така че при проектирането да бъдат очаквани и взети предвид всички предвидими събития със сериозни потенциални последици и всички предвидими събития с голяма честота на възникване“.</w:t>
      </w:r>
    </w:p>
  </w:footnote>
  <w:footnote w:id="4">
    <w:p w:rsidR="004A1036" w:rsidRPr="00EA2C16" w:rsidRDefault="004A1036" w:rsidP="004A1036">
      <w:pPr>
        <w:pStyle w:val="FootnoteText"/>
        <w:tabs>
          <w:tab w:val="left" w:pos="283"/>
        </w:tabs>
        <w:ind w:left="283" w:hanging="283"/>
      </w:pPr>
      <w:r>
        <w:rPr>
          <w:rStyle w:val="FootnoteReference"/>
        </w:rPr>
        <w:footnoteRef/>
      </w:r>
      <w:r>
        <w:t xml:space="preserve"> </w:t>
      </w:r>
      <w:r>
        <w:tab/>
        <w:t xml:space="preserve">С целите за безопасност на Асоциацията на западноевропейските ядрени регулатори (WENRA) се призовава да се разшири изискването за предоставяне на доказателства относно ядрената безопасност за нови централи в съответствие със засилването на дълбоко ешелонираната защита. С втората цел за безопасност на WENRA се изисква надлежно да се обмислят изборът на площадка и проектирането с цел намаляване на въздействието от външни опасности. Освен това през 2015 г. WENRA издаде нов документ с насоки (издание T): </w:t>
      </w:r>
      <w:proofErr w:type="spellStart"/>
      <w:r>
        <w:t>Natural</w:t>
      </w:r>
      <w:proofErr w:type="spellEnd"/>
      <w:r>
        <w:t xml:space="preserve"> </w:t>
      </w:r>
      <w:proofErr w:type="spellStart"/>
      <w:r>
        <w:t>Hazards</w:t>
      </w:r>
      <w:proofErr w:type="spellEnd"/>
      <w:r>
        <w:t xml:space="preserve"> Head </w:t>
      </w:r>
      <w:proofErr w:type="spellStart"/>
      <w:r>
        <w:t>Document-Guidance</w:t>
      </w:r>
      <w:proofErr w:type="spellEnd"/>
      <w:r>
        <w:t xml:space="preserve"> </w:t>
      </w:r>
      <w:proofErr w:type="spellStart"/>
      <w:r>
        <w:t>for</w:t>
      </w:r>
      <w:proofErr w:type="spellEnd"/>
      <w:r>
        <w:t xml:space="preserve"> </w:t>
      </w:r>
      <w:proofErr w:type="spellStart"/>
      <w:r>
        <w:t>the</w:t>
      </w:r>
      <w:proofErr w:type="spellEnd"/>
      <w:r>
        <w:t xml:space="preserve"> WENRA Safety </w:t>
      </w:r>
      <w:proofErr w:type="spellStart"/>
      <w:r>
        <w:t>Reference</w:t>
      </w:r>
      <w:proofErr w:type="spellEnd"/>
      <w:r>
        <w:t xml:space="preserve"> </w:t>
      </w:r>
      <w:proofErr w:type="spellStart"/>
      <w:r>
        <w:t>Levels</w:t>
      </w:r>
      <w:proofErr w:type="spellEnd"/>
      <w:r>
        <w:t xml:space="preserve"> </w:t>
      </w:r>
      <w:proofErr w:type="spellStart"/>
      <w:r>
        <w:t>for</w:t>
      </w:r>
      <w:proofErr w:type="spellEnd"/>
      <w:r>
        <w:t xml:space="preserve"> </w:t>
      </w:r>
      <w:proofErr w:type="spellStart"/>
      <w:r>
        <w:t>Natural</w:t>
      </w:r>
      <w:proofErr w:type="spellEnd"/>
      <w:r>
        <w:t xml:space="preserve"> </w:t>
      </w:r>
      <w:proofErr w:type="spellStart"/>
      <w:r>
        <w:t>Hazards</w:t>
      </w:r>
      <w:proofErr w:type="spellEnd"/>
      <w:r>
        <w:t xml:space="preserve"> </w:t>
      </w:r>
      <w:proofErr w:type="spellStart"/>
      <w:r>
        <w:t>introduced</w:t>
      </w:r>
      <w:proofErr w:type="spellEnd"/>
      <w:r>
        <w:t xml:space="preserve"> </w:t>
      </w:r>
      <w:proofErr w:type="spellStart"/>
      <w:r>
        <w:t>as</w:t>
      </w:r>
      <w:proofErr w:type="spellEnd"/>
      <w:r>
        <w:t xml:space="preserve"> </w:t>
      </w:r>
      <w:proofErr w:type="spellStart"/>
      <w:r>
        <w:t>lesson</w:t>
      </w:r>
      <w:proofErr w:type="spellEnd"/>
      <w:r>
        <w:t xml:space="preserve"> </w:t>
      </w:r>
      <w:proofErr w:type="spellStart"/>
      <w:r>
        <w:t>learned</w:t>
      </w:r>
      <w:proofErr w:type="spellEnd"/>
      <w:r>
        <w:t xml:space="preserve"> </w:t>
      </w:r>
      <w:proofErr w:type="spellStart"/>
      <w:r>
        <w:t>from</w:t>
      </w:r>
      <w:proofErr w:type="spellEnd"/>
      <w:r>
        <w:t xml:space="preserve"> TEPCO </w:t>
      </w:r>
      <w:proofErr w:type="spellStart"/>
      <w:r>
        <w:t>Fukushima</w:t>
      </w:r>
      <w:proofErr w:type="spellEnd"/>
      <w:r>
        <w:t xml:space="preserve"> </w:t>
      </w:r>
      <w:proofErr w:type="spellStart"/>
      <w:r>
        <w:t>Dai-Ichi</w:t>
      </w:r>
      <w:proofErr w:type="spellEnd"/>
      <w:r>
        <w:t xml:space="preserve"> </w:t>
      </w:r>
      <w:proofErr w:type="spellStart"/>
      <w:r>
        <w:t>accident</w:t>
      </w:r>
      <w:proofErr w:type="spellEnd"/>
      <w:r>
        <w:t xml:space="preserve"> (Ръководни насоки за природните опасности във връзка с референтните нива за безопасност на WENRA за природни бедствия, въведени вследствие на поуките, извлечени от аварията в централата във </w:t>
      </w:r>
      <w:proofErr w:type="spellStart"/>
      <w:r>
        <w:t>Фукушима</w:t>
      </w:r>
      <w:proofErr w:type="spellEnd"/>
      <w:r>
        <w:t xml:space="preserve"> TEPCO </w:t>
      </w:r>
      <w:proofErr w:type="spellStart"/>
      <w:r>
        <w:t>Dai-Ichi</w:t>
      </w:r>
      <w:proofErr w:type="spellEnd"/>
      <w:r>
        <w:t>). Третата цел за безопасност на WENRA изисква практическото предотвратяване на авариите, свързани с разтопяването на активната зона, които биха довели до ранно изхвърляне или изхвърляне в големи размери на радиоактивни вещества. В този контекст вероятността от възникване на определени условия се счита за практически елиминирана, ако физически е невъзможно тези условия да възникнат или ако с висока степен на надеждност може да се счита, че е изключително слабо вероятно условията да възникнат (от МААЕ SSR 2/1 Rev.1)</w:t>
      </w:r>
    </w:p>
  </w:footnote>
  <w:footnote w:id="5">
    <w:p w:rsidR="004A1036" w:rsidRPr="00EA2C16" w:rsidRDefault="004A1036" w:rsidP="004A1036">
      <w:pPr>
        <w:pStyle w:val="FootnoteText"/>
        <w:tabs>
          <w:tab w:val="left" w:pos="283"/>
        </w:tabs>
        <w:ind w:left="283" w:hanging="283"/>
      </w:pPr>
      <w:r>
        <w:rPr>
          <w:rStyle w:val="FootnoteReference"/>
        </w:rPr>
        <w:footnoteRef/>
      </w:r>
      <w:r>
        <w:t xml:space="preserve"> </w:t>
      </w:r>
      <w:r>
        <w:tab/>
        <w:t>Вж. четирите основни препоръки на европейско равнище, съдържащи се в Компилацията от препоръки и предложения от прегледа на европейските стрес тестовете, на разположение на адрес: http://www.ensreg.eu/NODE/513.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7B" w:rsidRDefault="00B411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7B" w:rsidRPr="004A1036" w:rsidRDefault="00B4117B" w:rsidP="004A10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17B" w:rsidRDefault="00B411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144032"/>
    <w:multiLevelType w:val="hybridMultilevel"/>
    <w:tmpl w:val="AEC64CF0"/>
    <w:lvl w:ilvl="0" w:tplc="45727486">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64B5"/>
    <w:rsid w:val="00007D4D"/>
    <w:rsid w:val="000457F1"/>
    <w:rsid w:val="00053EE8"/>
    <w:rsid w:val="0006026E"/>
    <w:rsid w:val="000852DF"/>
    <w:rsid w:val="00093E59"/>
    <w:rsid w:val="000F5323"/>
    <w:rsid w:val="000F5E0A"/>
    <w:rsid w:val="001131AC"/>
    <w:rsid w:val="001158CD"/>
    <w:rsid w:val="00132B9D"/>
    <w:rsid w:val="00152D60"/>
    <w:rsid w:val="0018044F"/>
    <w:rsid w:val="00181FC0"/>
    <w:rsid w:val="001936A7"/>
    <w:rsid w:val="001A164B"/>
    <w:rsid w:val="001E2097"/>
    <w:rsid w:val="00232459"/>
    <w:rsid w:val="00233B89"/>
    <w:rsid w:val="002365B0"/>
    <w:rsid w:val="00256F20"/>
    <w:rsid w:val="002818E3"/>
    <w:rsid w:val="002912D9"/>
    <w:rsid w:val="00294AEC"/>
    <w:rsid w:val="002A7D78"/>
    <w:rsid w:val="002C3B96"/>
    <w:rsid w:val="002C6D10"/>
    <w:rsid w:val="00312BBE"/>
    <w:rsid w:val="003313C0"/>
    <w:rsid w:val="00360568"/>
    <w:rsid w:val="00364A14"/>
    <w:rsid w:val="003843E6"/>
    <w:rsid w:val="003D2B02"/>
    <w:rsid w:val="00405B97"/>
    <w:rsid w:val="00450AD5"/>
    <w:rsid w:val="004603D3"/>
    <w:rsid w:val="004A1036"/>
    <w:rsid w:val="004A278A"/>
    <w:rsid w:val="004A7BF0"/>
    <w:rsid w:val="004B4554"/>
    <w:rsid w:val="004C5CD0"/>
    <w:rsid w:val="00502F25"/>
    <w:rsid w:val="00530743"/>
    <w:rsid w:val="00534B2F"/>
    <w:rsid w:val="00543E46"/>
    <w:rsid w:val="00551081"/>
    <w:rsid w:val="00582456"/>
    <w:rsid w:val="00592F40"/>
    <w:rsid w:val="0059566B"/>
    <w:rsid w:val="005A7709"/>
    <w:rsid w:val="005B2B3F"/>
    <w:rsid w:val="005E1EFA"/>
    <w:rsid w:val="005F2DA2"/>
    <w:rsid w:val="00602124"/>
    <w:rsid w:val="0063286A"/>
    <w:rsid w:val="0068475D"/>
    <w:rsid w:val="00687605"/>
    <w:rsid w:val="006D1C8E"/>
    <w:rsid w:val="006D6402"/>
    <w:rsid w:val="006E14DB"/>
    <w:rsid w:val="007025C6"/>
    <w:rsid w:val="00735CB0"/>
    <w:rsid w:val="0079599D"/>
    <w:rsid w:val="007A343E"/>
    <w:rsid w:val="007E1D7E"/>
    <w:rsid w:val="007E2438"/>
    <w:rsid w:val="007E7587"/>
    <w:rsid w:val="00821923"/>
    <w:rsid w:val="0084204A"/>
    <w:rsid w:val="0085646B"/>
    <w:rsid w:val="00882425"/>
    <w:rsid w:val="008864B5"/>
    <w:rsid w:val="008B1124"/>
    <w:rsid w:val="008E4301"/>
    <w:rsid w:val="008E441C"/>
    <w:rsid w:val="008E4A8B"/>
    <w:rsid w:val="00910865"/>
    <w:rsid w:val="00915B1D"/>
    <w:rsid w:val="0093445B"/>
    <w:rsid w:val="00954E0F"/>
    <w:rsid w:val="009C7EF0"/>
    <w:rsid w:val="00A11E9E"/>
    <w:rsid w:val="00A36B00"/>
    <w:rsid w:val="00A61FC2"/>
    <w:rsid w:val="00A729C2"/>
    <w:rsid w:val="00A92E70"/>
    <w:rsid w:val="00A94FBA"/>
    <w:rsid w:val="00AC4AE6"/>
    <w:rsid w:val="00AD5C59"/>
    <w:rsid w:val="00AE4E68"/>
    <w:rsid w:val="00AE6740"/>
    <w:rsid w:val="00B12F83"/>
    <w:rsid w:val="00B27074"/>
    <w:rsid w:val="00B4117B"/>
    <w:rsid w:val="00B4456B"/>
    <w:rsid w:val="00B73541"/>
    <w:rsid w:val="00B779AC"/>
    <w:rsid w:val="00B832A2"/>
    <w:rsid w:val="00B86530"/>
    <w:rsid w:val="00BA05D7"/>
    <w:rsid w:val="00BA0F59"/>
    <w:rsid w:val="00BB488E"/>
    <w:rsid w:val="00BC5156"/>
    <w:rsid w:val="00BE6679"/>
    <w:rsid w:val="00BF4787"/>
    <w:rsid w:val="00C2009F"/>
    <w:rsid w:val="00C3060D"/>
    <w:rsid w:val="00C318B4"/>
    <w:rsid w:val="00C407C3"/>
    <w:rsid w:val="00C42B90"/>
    <w:rsid w:val="00C57048"/>
    <w:rsid w:val="00C75BA8"/>
    <w:rsid w:val="00C829A4"/>
    <w:rsid w:val="00CD005F"/>
    <w:rsid w:val="00CE4142"/>
    <w:rsid w:val="00CE4811"/>
    <w:rsid w:val="00CE49A1"/>
    <w:rsid w:val="00CE66A4"/>
    <w:rsid w:val="00CF2DB7"/>
    <w:rsid w:val="00D00A87"/>
    <w:rsid w:val="00D0414C"/>
    <w:rsid w:val="00D145A2"/>
    <w:rsid w:val="00D34805"/>
    <w:rsid w:val="00D643B3"/>
    <w:rsid w:val="00D926A8"/>
    <w:rsid w:val="00DC23F3"/>
    <w:rsid w:val="00DE59A7"/>
    <w:rsid w:val="00E03032"/>
    <w:rsid w:val="00E03A45"/>
    <w:rsid w:val="00E0506A"/>
    <w:rsid w:val="00E06111"/>
    <w:rsid w:val="00E21223"/>
    <w:rsid w:val="00E46E2C"/>
    <w:rsid w:val="00E65F09"/>
    <w:rsid w:val="00E71957"/>
    <w:rsid w:val="00E76C9C"/>
    <w:rsid w:val="00EA2C16"/>
    <w:rsid w:val="00EB0EFB"/>
    <w:rsid w:val="00ED0402"/>
    <w:rsid w:val="00EF73C8"/>
    <w:rsid w:val="00F0431B"/>
    <w:rsid w:val="00F37261"/>
    <w:rsid w:val="00F75D8C"/>
    <w:rsid w:val="00F77FCA"/>
    <w:rsid w:val="00FA034B"/>
  </w:rsids>
  <m:mathPr>
    <m:mathFont m:val="Cambria Math"/>
    <m:brkBin m:val="before"/>
    <m:brkBinSub m:val="--"/>
    <m:smallFrac m:val="0"/>
    <m:dispDef/>
    <m:lMargin m:val="0"/>
    <m:rMargin m:val="0"/>
    <m:defJc m:val="centerGroup"/>
    <m:wrapIndent m:val="1440"/>
    <m:intLim m:val="subSup"/>
    <m:naryLim m:val="undOvr"/>
  </m:mathPr>
  <w:themeFontLang w:val="en-GB"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D4E4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bg-BG"/>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29A4"/>
    <w:pPr>
      <w:widowControl w:val="0"/>
    </w:pPr>
    <w:rPr>
      <w:rFonts w:ascii="Arial" w:hAnsi="Arial" w:cs="Arial"/>
      <w:snapToGrid w:val="0"/>
    </w:rPr>
  </w:style>
  <w:style w:type="paragraph" w:styleId="Heading1">
    <w:name w:val="heading 1"/>
    <w:basedOn w:val="Normal"/>
    <w:next w:val="Normal"/>
    <w:link w:val="Heading1Char"/>
    <w:qFormat/>
    <w:rsid w:val="00A61FC2"/>
    <w:pPr>
      <w:keepNext/>
      <w:spacing w:before="240" w:after="60"/>
      <w:outlineLvl w:val="0"/>
    </w:pPr>
    <w:rPr>
      <w:rFonts w:ascii="Calibri Light" w:hAnsi="Calibri Light"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rsid w:val="00A11E9E"/>
    <w:rPr>
      <w:rFonts w:ascii="Arial" w:hAnsi="Arial" w:cs="Arial"/>
      <w:b w:val="0"/>
      <w:i w:val="0"/>
      <w:caps w:val="0"/>
      <w:smallCaps w:val="0"/>
      <w:strike w:val="0"/>
      <w:dstrike w:val="0"/>
      <w:vanish w:val="0"/>
      <w:color w:val="auto"/>
      <w:spacing w:val="0"/>
      <w:w w:val="100"/>
      <w:kern w:val="0"/>
      <w:position w:val="0"/>
      <w:sz w:val="18"/>
      <w:u w:val="none"/>
      <w:effect w:val="none"/>
      <w:vertAlign w:val="superscript"/>
      <w14:shadow w14:blurRad="0" w14:dist="0" w14:dir="0" w14:sx="0" w14:sy="0" w14:kx="0" w14:ky="0" w14:algn="none">
        <w14:srgbClr w14:val="000000"/>
      </w14:shadow>
      <w14:textOutline w14:w="0" w14:cap="rnd" w14:cmpd="sng" w14:algn="ctr">
        <w14:noFill/>
        <w14:prstDash w14:val="solid"/>
        <w14:bevel/>
      </w14:textOutline>
    </w:rPr>
  </w:style>
  <w:style w:type="paragraph" w:styleId="Header">
    <w:name w:val="header"/>
    <w:basedOn w:val="Normal"/>
    <w:pPr>
      <w:tabs>
        <w:tab w:val="center" w:pos="4153"/>
        <w:tab w:val="right" w:pos="8306"/>
      </w:tabs>
    </w:pPr>
  </w:style>
  <w:style w:type="paragraph" w:styleId="Footer">
    <w:name w:val="footer"/>
    <w:basedOn w:val="Normal"/>
    <w:link w:val="FooterChar"/>
    <w:uiPriority w:val="99"/>
    <w:rsid w:val="001131AC"/>
    <w:pPr>
      <w:tabs>
        <w:tab w:val="center" w:pos="4535"/>
        <w:tab w:val="right" w:pos="9071"/>
      </w:tabs>
      <w:spacing w:before="240" w:after="240"/>
    </w:pPr>
    <w:rPr>
      <w:snapToGrid/>
      <w:sz w:val="22"/>
    </w:rPr>
  </w:style>
  <w:style w:type="character" w:styleId="PageNumber">
    <w:name w:val="page number"/>
    <w:basedOn w:val="DefaultParagraphFont"/>
  </w:style>
  <w:style w:type="paragraph" w:styleId="FootnoteText">
    <w:name w:val="footnote text"/>
    <w:basedOn w:val="Normal"/>
    <w:link w:val="FootnoteTextChar"/>
    <w:semiHidden/>
    <w:rPr>
      <w:sz w:val="18"/>
    </w:rPr>
  </w:style>
  <w:style w:type="paragraph" w:styleId="BalloonText">
    <w:name w:val="Balloon Text"/>
    <w:basedOn w:val="Normal"/>
    <w:link w:val="BalloonTextChar"/>
    <w:uiPriority w:val="99"/>
    <w:semiHidden/>
    <w:rsid w:val="00CD005F"/>
    <w:rPr>
      <w:rFonts w:ascii="Tahoma" w:hAnsi="Tahoma" w:cs="Tahoma"/>
      <w:sz w:val="16"/>
      <w:szCs w:val="16"/>
    </w:rPr>
  </w:style>
  <w:style w:type="character" w:customStyle="1" w:styleId="Heading1Char">
    <w:name w:val="Heading 1 Char"/>
    <w:link w:val="Heading1"/>
    <w:rsid w:val="00A61FC2"/>
    <w:rPr>
      <w:rFonts w:ascii="Calibri Light" w:eastAsia="Times New Roman" w:hAnsi="Calibri Light" w:cs="Times New Roman"/>
      <w:b/>
      <w:bCs/>
      <w:snapToGrid w:val="0"/>
      <w:kern w:val="32"/>
      <w:sz w:val="32"/>
      <w:szCs w:val="32"/>
      <w:lang w:val="bg-BG" w:eastAsia="bg-BG"/>
    </w:rPr>
  </w:style>
  <w:style w:type="paragraph" w:styleId="ListParagraph">
    <w:name w:val="List Paragraph"/>
    <w:basedOn w:val="Normal"/>
    <w:uiPriority w:val="34"/>
    <w:qFormat/>
    <w:rsid w:val="004A278A"/>
    <w:pPr>
      <w:widowControl/>
      <w:ind w:left="720"/>
      <w:contextualSpacing/>
    </w:pPr>
    <w:rPr>
      <w:rFonts w:ascii="Calibri" w:eastAsia="Calibri" w:hAnsi="Calibri" w:cs="Times New Roman"/>
      <w:snapToGrid/>
      <w:sz w:val="22"/>
      <w:szCs w:val="22"/>
    </w:rPr>
  </w:style>
  <w:style w:type="character" w:customStyle="1" w:styleId="FootnoteTextChar">
    <w:name w:val="Footnote Text Char"/>
    <w:link w:val="FootnoteText"/>
    <w:semiHidden/>
    <w:rsid w:val="004A278A"/>
    <w:rPr>
      <w:rFonts w:ascii="Arial" w:hAnsi="Arial" w:cs="Arial"/>
      <w:snapToGrid w:val="0"/>
      <w:sz w:val="18"/>
    </w:rPr>
  </w:style>
  <w:style w:type="character" w:customStyle="1" w:styleId="BalloonTextChar">
    <w:name w:val="Balloon Text Char"/>
    <w:link w:val="BalloonText"/>
    <w:uiPriority w:val="99"/>
    <w:semiHidden/>
    <w:rsid w:val="00AD5C59"/>
    <w:rPr>
      <w:rFonts w:ascii="Tahoma" w:hAnsi="Tahoma" w:cs="Tahoma"/>
      <w:snapToGrid w:val="0"/>
      <w:sz w:val="16"/>
      <w:szCs w:val="16"/>
      <w:lang w:eastAsia="bg-BG"/>
    </w:rPr>
  </w:style>
  <w:style w:type="character" w:styleId="CommentReference">
    <w:name w:val="annotation reference"/>
    <w:basedOn w:val="DefaultParagraphFont"/>
    <w:semiHidden/>
    <w:unhideWhenUsed/>
    <w:rsid w:val="00294AEC"/>
    <w:rPr>
      <w:sz w:val="16"/>
      <w:szCs w:val="16"/>
    </w:rPr>
  </w:style>
  <w:style w:type="paragraph" w:styleId="CommentText">
    <w:name w:val="annotation text"/>
    <w:basedOn w:val="Normal"/>
    <w:link w:val="CommentTextChar"/>
    <w:semiHidden/>
    <w:unhideWhenUsed/>
    <w:rsid w:val="00294AEC"/>
  </w:style>
  <w:style w:type="character" w:customStyle="1" w:styleId="CommentTextChar">
    <w:name w:val="Comment Text Char"/>
    <w:basedOn w:val="DefaultParagraphFont"/>
    <w:link w:val="CommentText"/>
    <w:semiHidden/>
    <w:rsid w:val="00294AEC"/>
    <w:rPr>
      <w:rFonts w:ascii="Arial" w:hAnsi="Arial" w:cs="Arial"/>
      <w:snapToGrid w:val="0"/>
      <w:lang w:eastAsia="bg-BG"/>
    </w:rPr>
  </w:style>
  <w:style w:type="paragraph" w:styleId="CommentSubject">
    <w:name w:val="annotation subject"/>
    <w:basedOn w:val="CommentText"/>
    <w:next w:val="CommentText"/>
    <w:link w:val="CommentSubjectChar"/>
    <w:semiHidden/>
    <w:unhideWhenUsed/>
    <w:rsid w:val="00294AEC"/>
    <w:rPr>
      <w:b/>
      <w:bCs/>
    </w:rPr>
  </w:style>
  <w:style w:type="character" w:customStyle="1" w:styleId="CommentSubjectChar">
    <w:name w:val="Comment Subject Char"/>
    <w:basedOn w:val="CommentTextChar"/>
    <w:link w:val="CommentSubject"/>
    <w:semiHidden/>
    <w:rsid w:val="00294AEC"/>
    <w:rPr>
      <w:rFonts w:ascii="Arial" w:hAnsi="Arial" w:cs="Arial"/>
      <w:b/>
      <w:bCs/>
      <w:snapToGrid w:val="0"/>
      <w:lang w:eastAsia="bg-BG"/>
    </w:rPr>
  </w:style>
  <w:style w:type="paragraph" w:styleId="EndnoteText">
    <w:name w:val="endnote text"/>
    <w:basedOn w:val="Normal"/>
    <w:link w:val="EndnoteTextChar"/>
    <w:semiHidden/>
    <w:unhideWhenUsed/>
    <w:rsid w:val="0018044F"/>
  </w:style>
  <w:style w:type="character" w:customStyle="1" w:styleId="EndnoteTextChar">
    <w:name w:val="Endnote Text Char"/>
    <w:basedOn w:val="DefaultParagraphFont"/>
    <w:link w:val="EndnoteText"/>
    <w:semiHidden/>
    <w:rsid w:val="0018044F"/>
    <w:rPr>
      <w:rFonts w:ascii="Arial" w:hAnsi="Arial" w:cs="Arial"/>
      <w:snapToGrid w:val="0"/>
      <w:lang w:eastAsia="bg-BG"/>
    </w:rPr>
  </w:style>
  <w:style w:type="character" w:styleId="EndnoteReference">
    <w:name w:val="endnote reference"/>
    <w:basedOn w:val="DefaultParagraphFont"/>
    <w:semiHidden/>
    <w:unhideWhenUsed/>
    <w:rsid w:val="0018044F"/>
    <w:rPr>
      <w:vertAlign w:val="superscript"/>
    </w:rPr>
  </w:style>
  <w:style w:type="character" w:styleId="Hyperlink">
    <w:name w:val="Hyperlink"/>
    <w:basedOn w:val="DefaultParagraphFont"/>
    <w:unhideWhenUsed/>
    <w:rsid w:val="00233B89"/>
    <w:rPr>
      <w:color w:val="0563C1" w:themeColor="hyperlink"/>
      <w:u w:val="single"/>
    </w:rPr>
  </w:style>
  <w:style w:type="character" w:styleId="FollowedHyperlink">
    <w:name w:val="FollowedHyperlink"/>
    <w:basedOn w:val="DefaultParagraphFont"/>
    <w:semiHidden/>
    <w:unhideWhenUsed/>
    <w:rsid w:val="00233B89"/>
    <w:rPr>
      <w:color w:val="954F72" w:themeColor="followedHyperlink"/>
      <w:u w:val="single"/>
    </w:rPr>
  </w:style>
  <w:style w:type="character" w:customStyle="1" w:styleId="FooterChar">
    <w:name w:val="Footer Char"/>
    <w:basedOn w:val="DefaultParagraphFont"/>
    <w:link w:val="Footer"/>
    <w:uiPriority w:val="99"/>
    <w:rsid w:val="00233B8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75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1225</Characters>
  <Application>Microsoft Office Word</Application>
  <DocSecurity>0</DocSecurity>
  <Lines>10</Lines>
  <Paragraphs>2</Paragraphs>
  <ScaleCrop>false</ScaleCrop>
  <Company/>
  <LinksUpToDate>false</LinksUpToDate>
  <CharactersWithSpaces>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2018-11-28T10:28:00Z</dcterms:created>
  <dcterms:modified xsi:type="dcterms:W3CDTF">2018-11-28T10:28:00Z</dcterms:modified>
</cp:coreProperties>
</file>